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9F" w:rsidRDefault="00DC0F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15"/>
          <w:szCs w:val="15"/>
          <w:shd w:val="clear" w:color="auto" w:fill="FFFFFF"/>
        </w:rPr>
        <w:t> </w:t>
      </w:r>
      <w:r w:rsidRPr="00DC0F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предоставления </w:t>
      </w:r>
      <w:proofErr w:type="gramStart"/>
      <w:r w:rsidRPr="00DC0F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государственной</w:t>
      </w:r>
      <w:proofErr w:type="gramEnd"/>
      <w:r w:rsidRPr="00DC0F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</w:t>
      </w:r>
    </w:p>
    <w:p w:rsidR="000B2CE6" w:rsidRDefault="000B2CE6" w:rsidP="000B2CE6">
      <w:pPr>
        <w:pStyle w:val="ConsPlusNormal"/>
        <w:ind w:firstLine="540"/>
        <w:jc w:val="both"/>
      </w:pPr>
      <w:r>
        <w:t>Планы (схемы), направляемые пользователем недр в электронном виде, в том числе содержащие изменения (дополнения) в случаях, когда доработка плана (схемы) осуществлялась по причине принятого решения об отказе в их согласовании, должны содержать: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bookmarkStart w:id="0" w:name="Par234"/>
      <w:bookmarkEnd w:id="0"/>
      <w:r>
        <w:t>1. Текстовую часть пояснительной записки.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2. Графические изображения.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bookmarkStart w:id="1" w:name="Par236"/>
      <w:bookmarkEnd w:id="1"/>
      <w:r>
        <w:t>3. Табличные материалы.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bookmarkStart w:id="2" w:name="Par237"/>
      <w:bookmarkEnd w:id="2"/>
      <w:r>
        <w:t xml:space="preserve"> Помимо документов, указанных в пунктах 1 - 3, пользователем недр в электронном виде должны быть представлены копии: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недрами, и первичной переработки минерального сырья, с изменениями (при наличии), а также документов о ее согласовании в порядке, установленном законодательными и иными нормативными правовыми актами;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заключений экспертиз, предусмотренных законодательством Российской Федерации о недрах, о градостроительной деятельности, в области промышленной безопасности, охраны окружающей среды;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лицензий на пользование недрами и их неотъемлемых составных частей.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Документы должны представляться в виде электронных документов в форматах, обеспечивающих возможность копирования.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Представляемые электронные документы должны быть подписаны усиленной квалифицированной электронной подписью руководителя пользователя недр (подрядной организации) или его уполномоченного лица в соответствии с законодательством Российской Федерации.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Электронные документы должны соответствовать представленным документам на бумажном носителе.</w:t>
      </w:r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Графические изображения должны содержать графические материалы планов (схем) развития горных работ.</w:t>
      </w:r>
    </w:p>
    <w:p w:rsidR="003A5322" w:rsidRDefault="003A5322" w:rsidP="000B2CE6">
      <w:pPr>
        <w:pStyle w:val="ConsPlusNormal"/>
        <w:spacing w:before="240"/>
        <w:ind w:firstLine="540"/>
        <w:jc w:val="both"/>
      </w:pPr>
      <w:r w:rsidRPr="003A5322">
        <w:t xml:space="preserve">Табличные материалы должны состоять из отдельных таблиц (по видам горных работ, полезных ископаемых, участкам недр, объектам недропользования) с соответствующим наименованием и содержать сведения согласно пункту 46 «Требований к подготовке, содержанию и оформлению планов и схем развития горных работ т формы заявления о согласовании планов и (или) схем развития горных </w:t>
      </w:r>
      <w:proofErr w:type="spellStart"/>
      <w:r w:rsidRPr="003A5322">
        <w:t>работ»</w:t>
      </w:r>
      <w:proofErr w:type="spellEnd"/>
    </w:p>
    <w:p w:rsidR="000B2CE6" w:rsidRDefault="000B2CE6" w:rsidP="000B2CE6">
      <w:pPr>
        <w:pStyle w:val="ConsPlusNormal"/>
        <w:spacing w:before="240"/>
        <w:ind w:firstLine="540"/>
        <w:jc w:val="both"/>
      </w:pPr>
      <w:r>
        <w:t>При разработке месторождений подземных вод, специфических минеральных ресурсов, общераспространенных полезных ископаемых подготовка электронных документов и представление на согласование планов (схем) в электронном виде не требуется.</w:t>
      </w:r>
    </w:p>
    <w:p w:rsidR="00DC0F9F" w:rsidRPr="00DC0F9F" w:rsidRDefault="00DC0F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</w:p>
    <w:sectPr w:rsidR="00DC0F9F" w:rsidRPr="00DC0F9F" w:rsidSect="00CA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F9F"/>
    <w:rsid w:val="000B2CE6"/>
    <w:rsid w:val="001C1209"/>
    <w:rsid w:val="003A5322"/>
    <w:rsid w:val="008F71F5"/>
    <w:rsid w:val="00CA6820"/>
    <w:rsid w:val="00D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Лютиков Н.И.</cp:lastModifiedBy>
  <cp:revision>4</cp:revision>
  <dcterms:created xsi:type="dcterms:W3CDTF">2020-04-02T22:46:00Z</dcterms:created>
  <dcterms:modified xsi:type="dcterms:W3CDTF">2021-03-04T04:53:00Z</dcterms:modified>
</cp:coreProperties>
</file>